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8D" w:rsidRPr="00754A2A" w:rsidRDefault="00D27E8D" w:rsidP="00D27E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«</w:t>
      </w:r>
      <w:r w:rsidR="00A13CE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Сандық</w:t>
      </w:r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Қазақстан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: XXI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ғасырдағы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қала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құрылысы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жүйелерінің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тұрақты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дамуы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» III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Халықаралық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инновациялық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="005A1F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</w:t>
      </w:r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орумын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ң </w:t>
      </w:r>
      <w:r w:rsidR="005A1F1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Ұ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йымдастыру комитетіне м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ақала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жариялау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үшін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материалдарды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ұсыну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тәртібі</w:t>
      </w:r>
      <w:proofErr w:type="spellEnd"/>
    </w:p>
    <w:p w:rsidR="00842DC9" w:rsidRPr="00754A2A" w:rsidRDefault="00842DC9" w:rsidP="00842DC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D27E8D" w:rsidRPr="00754A2A" w:rsidRDefault="00D27E8D" w:rsidP="00D27E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жариялау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форумның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1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йымдастыру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1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омитетіне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ұсынатын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D27E8D" w:rsidRPr="00754A2A" w:rsidRDefault="00D27E8D" w:rsidP="00D27E8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D27E8D" w:rsidRPr="00754A2A" w:rsidRDefault="00D27E8D" w:rsidP="00D27E8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5A1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йымдастыру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комитетінің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842DC9" w:rsidRPr="00754A2A" w:rsidRDefault="00842DC9" w:rsidP="00842DC9">
      <w:pPr>
        <w:pStyle w:val="a6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DC9" w:rsidRPr="00754A2A" w:rsidRDefault="00842DC9" w:rsidP="0084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42DC9" w:rsidRPr="00754A2A" w:rsidRDefault="00842DC9" w:rsidP="0084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27E8D" w:rsidRPr="00754A2A" w:rsidRDefault="00D27E8D" w:rsidP="00D27E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Мақалаларды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r w:rsidR="005A1F1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ә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сімдеуге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қойылатын</w:t>
      </w:r>
      <w:proofErr w:type="spellEnd"/>
      <w:r w:rsidRPr="00754A2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талаптар</w:t>
      </w:r>
      <w:proofErr w:type="spellEnd"/>
    </w:p>
    <w:p w:rsidR="00D27E8D" w:rsidRPr="00754A2A" w:rsidRDefault="00842DC9" w:rsidP="0084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Жариялануға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WinWord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форматындағы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="00D27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(Microsoft Office Word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мәтіндік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</w:t>
      </w:r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Times New Roman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="00D27E8D" w:rsidRPr="00754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PDF </w:t>
      </w:r>
      <w:proofErr w:type="spellStart"/>
      <w:r w:rsidR="00D27E8D" w:rsidRPr="00D27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және</w:t>
      </w:r>
      <w:proofErr w:type="spellEnd"/>
      <w:r w:rsidR="00D27E8D" w:rsidRPr="00754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D27E8D" w:rsidRPr="00754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TeX</w:t>
      </w:r>
      <w:proofErr w:type="spellEnd"/>
      <w:r w:rsidR="00D27E8D" w:rsidRPr="00754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файлдары</w:t>
      </w:r>
      <w:proofErr w:type="spellEnd"/>
      <w:r w:rsidR="00D27E8D" w:rsidRPr="00754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қабылданбайды</w:t>
      </w:r>
      <w:proofErr w:type="spellEnd"/>
      <w:r w:rsidR="00D27E8D" w:rsidRPr="00754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.</w:t>
      </w:r>
    </w:p>
    <w:p w:rsidR="00D27E8D" w:rsidRPr="00754A2A" w:rsidRDefault="00842DC9" w:rsidP="0084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иллюстрациялық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суреттерге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қолдарды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кестелерді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алғанда</w:t>
      </w:r>
      <w:proofErr w:type="spellEnd"/>
      <w:r w:rsidR="007745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gramStart"/>
      <w:r w:rsidR="007745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proofErr w:type="gram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аспауы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7745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сынылған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ауқымды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зерттеулердің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сипатталған</w:t>
      </w:r>
      <w:proofErr w:type="spellEnd"/>
      <w:r w:rsidR="007745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жағдайды есепке алмағанда, </w:t>
      </w:r>
      <w:r w:rsidR="007745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</w:t>
      </w:r>
      <w:r w:rsidR="007745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жағдайда м</w:t>
      </w:r>
      <w:proofErr w:type="spellStart"/>
      <w:r w:rsidR="0077455E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ақала</w:t>
      </w:r>
      <w:proofErr w:type="spellEnd"/>
      <w:r w:rsidR="0077455E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7455E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авторларының</w:t>
      </w:r>
      <w:proofErr w:type="spellEnd"/>
      <w:r w:rsidR="0077455E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7455E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</w:t>
      </w:r>
      <w:r w:rsidR="0077455E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5-</w:t>
      </w:r>
      <w:proofErr w:type="spellStart"/>
      <w:r w:rsidR="0077455E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</w:t>
      </w:r>
      <w:proofErr w:type="spellEnd"/>
      <w:r w:rsidR="0077455E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7455E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аспауы</w:t>
      </w:r>
      <w:proofErr w:type="spellEnd"/>
      <w:r w:rsidR="0077455E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7455E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7745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27E8D" w:rsidRPr="00754A2A" w:rsidRDefault="00842DC9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ретпен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элементтерден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тұруы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ретпен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орналасуы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D27E8D"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D27E8D" w:rsidRPr="00754A2A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әмбебап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ондық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жіктеу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индексі</w:t>
      </w:r>
      <w:proofErr w:type="spellEnd"/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ӘОЖ</w:t>
      </w:r>
      <w:r w:rsidRPr="00754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авторлар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аннотация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түйінді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D" w:rsidRPr="00D27E8D" w:rsidRDefault="00D27E8D" w:rsidP="00D27E8D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42DC9" w:rsidRPr="00B93A64" w:rsidRDefault="00842DC9" w:rsidP="00842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8D" w:rsidRPr="00D27E8D" w:rsidRDefault="00842DC9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қолжазбасын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рәсімдеу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Қолжазба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="00E442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форматталуы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табуляция,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мәжбүрлеп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пайдаланылмауы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2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көрші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элементтерден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жоларалық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интервалмен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бөлінуі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442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сімделуі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ӘОЖ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индексінен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Қаріп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өлшемі</w:t>
      </w:r>
      <w:proofErr w:type="spellEnd"/>
      <w:r w:rsidR="00E442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42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туралау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4.2. 18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көлеміндегі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жартылай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шрифтпен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="00E442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сөйлемнен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2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уға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E442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="00E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көлеміндегі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шрифтпен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үтірмен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копирайт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4.4. 12</w:t>
      </w:r>
      <w:r w:rsidR="00D25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-пункт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шрифтімен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ақпаратпен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аударамыз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Тақырып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жолдармен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 w:rsidR="009D53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ңестірі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D53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үлгісі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3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келтірілген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C9" w:rsidRPr="00DA0267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УДК</w:t>
      </w:r>
      <w:r w:rsidR="00842DC9" w:rsidRPr="00DA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599.722</w:t>
      </w:r>
    </w:p>
    <w:p w:rsidR="00842DC9" w:rsidRPr="00DA0267" w:rsidRDefault="00D27E8D" w:rsidP="00842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Сәулет және құрылыстағы </w:t>
      </w:r>
      <w:r w:rsidR="00842DC9" w:rsidRPr="00B93A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Building</w:t>
      </w:r>
      <w:r w:rsidR="00842DC9" w:rsidRPr="00DA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2DC9" w:rsidRPr="00B93A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information</w:t>
      </w:r>
      <w:r w:rsidR="00842DC9" w:rsidRPr="00DA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2DC9" w:rsidRPr="00B93A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modeling</w:t>
      </w:r>
      <w:r w:rsidR="00842DC9" w:rsidRPr="00DA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2DC9" w:rsidRPr="00B93A64" w:rsidRDefault="00842DC9" w:rsidP="00842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>© Г.Д.Мауленова</w:t>
      </w:r>
      <w:r w:rsidRPr="00B93A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В.В.Яскевич</w:t>
      </w:r>
      <w:proofErr w:type="spellEnd"/>
    </w:p>
    <w:p w:rsidR="00842DC9" w:rsidRPr="00B93A64" w:rsidRDefault="00842DC9" w:rsidP="00842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D27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Қ. И. Сәтбаев атындағы Қазақ </w:t>
      </w:r>
      <w:r w:rsidR="009D53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D27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лттық </w:t>
      </w:r>
      <w:r w:rsidR="009D53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D27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ехникалық </w:t>
      </w:r>
      <w:r w:rsidR="009D53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r w:rsidR="00D27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ерттеу университеті </w:t>
      </w:r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93A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SATBAYEV</w:t>
      </w:r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A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27E8D" w:rsidRPr="00D27E8D" w:rsidRDefault="00842DC9" w:rsidP="00D27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="000E48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</w:t>
      </w:r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мақаланың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ондағы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Аннотация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мақаланың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микрорефераты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50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сөзге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Аннотация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мәтінінің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қаріп</w:t>
      </w:r>
      <w:proofErr w:type="spellEnd"/>
      <w:r w:rsidR="00B202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түрі</w:t>
      </w:r>
      <w:r w:rsidR="005133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курсив,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қаріп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өлшемі</w:t>
      </w:r>
      <w:proofErr w:type="spellEnd"/>
      <w:r w:rsidR="005133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5133FD">
        <w:rPr>
          <w:rFonts w:ascii="Times New Roman" w:eastAsia="Times New Roman" w:hAnsi="Times New Roman" w:cs="Times New Roman"/>
          <w:sz w:val="24"/>
          <w:szCs w:val="24"/>
          <w:lang w:eastAsia="ru-RU"/>
        </w:rPr>
        <w:t>14-</w:t>
      </w:r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пункт,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ені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туралау</w:t>
      </w:r>
      <w:proofErr w:type="spellEnd"/>
      <w:r w:rsidR="00D27E8D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7E8D" w:rsidRPr="00D27E8D" w:rsidRDefault="00D27E8D" w:rsidP="00D27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(5-тен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Қаріп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202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курсив,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қаріп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202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202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туралау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бөлгіш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202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үтір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тіркестері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кеңістіктегі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Default="00D27E8D" w:rsidP="00D27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авторларына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ұстану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E8D" w:rsidRPr="00D27E8D" w:rsidRDefault="00D27E8D" w:rsidP="00D27E8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қаралатын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жай-күйін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шешілетін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кіріспе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7E8D" w:rsidRPr="00D27E8D" w:rsidRDefault="00D27E8D" w:rsidP="00D27E8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оларды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D" w:rsidRPr="00D27E8D" w:rsidRDefault="00D27E8D" w:rsidP="00D27E8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құбылыстардың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ережелердің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өрнектер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қалаулар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түрлендірулер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7E8D" w:rsidRPr="00D27E8D" w:rsidRDefault="00D27E8D" w:rsidP="00D27E8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="004E34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материалдармен салыстыру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D" w:rsidRPr="00D27E8D" w:rsidRDefault="00D27E8D" w:rsidP="00D27E8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қаріп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E34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E34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-пункт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жоларалық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E34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E34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дара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абзацтық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шегініс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E34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см,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туралау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кездесетін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қысқартулар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кездесті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бірліктері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алықаралық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бірліктер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(СИ) </w:t>
      </w:r>
      <w:r w:rsidR="00637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бірліктерімен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қолдануға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бірліктерді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еселік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лескерлік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бірліктерді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рұқсат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637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тарауларының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басталғаннан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637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-пункт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көлеміндегі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жартылай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шрифтпен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теріледі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мәтіннен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нүкте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</w:t>
      </w:r>
      <w:r w:rsidR="00637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арқылы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бөліне</w:t>
      </w:r>
      <w:proofErr w:type="spellEnd"/>
      <w:r w:rsidR="00637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MathType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C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формулаларының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редакторында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теріл</w:t>
      </w:r>
      <w:proofErr w:type="spellEnd"/>
      <w:r w:rsidR="003C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іп,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туралан</w:t>
      </w:r>
      <w:proofErr w:type="spellEnd"/>
      <w:r w:rsidR="003C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ады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Формулалардың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нөмірлері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жақшада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MathType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таңбалар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формулалары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баспаға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қабылданбайды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Кестелер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өрісі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бетке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ауыстырғанда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басы да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тасымалданады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</w:t>
      </w:r>
      <w:proofErr w:type="spellEnd"/>
      <w:r w:rsidR="003C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тураланады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тураланады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Кестелер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ретпен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нөмірленеді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қайталанбауы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фотосуреттер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мазмұндама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логикасына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өрісі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ретпен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нөмірленеді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ондағы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мәтінге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JPEG, PNG, TIFF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форматтарында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3C5EEC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әтінде</w:t>
      </w:r>
      <w:proofErr w:type="spellEnd"/>
      <w:r w:rsidR="003C5EEC"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рбір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суретке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сканерленген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бейнелердің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сақтай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300dpi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P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Суреттерге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келтірілген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мәтінге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жүгінбестен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қамтуы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Аббревиатуралар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жасалмаған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астындағы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қолтаңбаларда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шифрленеді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D" w:rsidRDefault="00D27E8D" w:rsidP="00D2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spellStart"/>
      <w:r w:rsidR="003C5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Библиографиялық</w:t>
      </w:r>
      <w:proofErr w:type="spellEnd"/>
      <w:r w:rsidR="003C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5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тізімдегі</w:t>
      </w:r>
      <w:proofErr w:type="spellEnd"/>
      <w:r w:rsidR="003C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5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</w:t>
      </w:r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ретпен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мәтінінің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жақшада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D27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7B0" w:rsidRDefault="00FC47B0" w:rsidP="00FC47B0"/>
    <w:p w:rsidR="004D4DC3" w:rsidRDefault="004D4DC3" w:rsidP="00FC47B0"/>
    <w:p w:rsidR="00FC47B0" w:rsidRPr="00B47103" w:rsidRDefault="00FC47B0" w:rsidP="00FC47B0">
      <w:pPr>
        <w:contextualSpacing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  <w:lang w:val="kk-KZ"/>
        </w:rPr>
        <w:t>ӨТІНІМ</w:t>
      </w:r>
      <w:r w:rsidRPr="00B47103">
        <w:rPr>
          <w:b/>
          <w:sz w:val="28"/>
          <w:szCs w:val="28"/>
        </w:rPr>
        <w:t xml:space="preserve"> </w:t>
      </w:r>
    </w:p>
    <w:p w:rsidR="00FC47B0" w:rsidRPr="004F5846" w:rsidRDefault="00FC47B0" w:rsidP="00FC47B0">
      <w:pPr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Сандық</w:t>
      </w:r>
      <w:r w:rsidRPr="00A01ECD">
        <w:rPr>
          <w:b/>
          <w:sz w:val="28"/>
          <w:szCs w:val="28"/>
        </w:rPr>
        <w:t xml:space="preserve"> </w:t>
      </w:r>
      <w:proofErr w:type="spellStart"/>
      <w:r w:rsidRPr="00004262">
        <w:rPr>
          <w:b/>
          <w:sz w:val="28"/>
          <w:szCs w:val="28"/>
        </w:rPr>
        <w:t>Қазақстан</w:t>
      </w:r>
      <w:proofErr w:type="spellEnd"/>
      <w:r w:rsidRPr="00A01ECD">
        <w:rPr>
          <w:b/>
          <w:sz w:val="28"/>
          <w:szCs w:val="28"/>
        </w:rPr>
        <w:t xml:space="preserve">: </w:t>
      </w:r>
      <w:r w:rsidRPr="00A01ECD">
        <w:rPr>
          <w:b/>
          <w:sz w:val="28"/>
          <w:szCs w:val="28"/>
          <w:lang w:val="en-US"/>
        </w:rPr>
        <w:t>XXI</w:t>
      </w:r>
      <w:r w:rsidRPr="00A01ECD">
        <w:rPr>
          <w:b/>
          <w:sz w:val="28"/>
          <w:szCs w:val="28"/>
        </w:rPr>
        <w:t xml:space="preserve"> </w:t>
      </w:r>
      <w:proofErr w:type="spellStart"/>
      <w:r w:rsidRPr="00004262">
        <w:rPr>
          <w:b/>
          <w:sz w:val="28"/>
          <w:szCs w:val="28"/>
        </w:rPr>
        <w:t>ғасырдағы</w:t>
      </w:r>
      <w:proofErr w:type="spellEnd"/>
      <w:r w:rsidRPr="00A01ECD">
        <w:rPr>
          <w:b/>
          <w:sz w:val="28"/>
          <w:szCs w:val="28"/>
        </w:rPr>
        <w:t xml:space="preserve"> </w:t>
      </w:r>
      <w:proofErr w:type="spellStart"/>
      <w:r w:rsidRPr="00004262">
        <w:rPr>
          <w:b/>
          <w:sz w:val="28"/>
          <w:szCs w:val="28"/>
        </w:rPr>
        <w:t>қала</w:t>
      </w:r>
      <w:proofErr w:type="spellEnd"/>
      <w:r w:rsidRPr="00A01ECD">
        <w:rPr>
          <w:b/>
          <w:sz w:val="28"/>
          <w:szCs w:val="28"/>
        </w:rPr>
        <w:t xml:space="preserve"> </w:t>
      </w:r>
      <w:proofErr w:type="spellStart"/>
      <w:r w:rsidRPr="00004262">
        <w:rPr>
          <w:b/>
          <w:sz w:val="28"/>
          <w:szCs w:val="28"/>
        </w:rPr>
        <w:t>құ</w:t>
      </w:r>
      <w:r>
        <w:rPr>
          <w:b/>
          <w:sz w:val="28"/>
          <w:szCs w:val="28"/>
        </w:rPr>
        <w:t>рылысы</w:t>
      </w:r>
      <w:proofErr w:type="spellEnd"/>
      <w:r w:rsidRPr="00A01EC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жүйелерін</w:t>
      </w:r>
      <w:proofErr w:type="spellEnd"/>
      <w:r w:rsidR="004F5846">
        <w:rPr>
          <w:b/>
          <w:sz w:val="28"/>
          <w:szCs w:val="28"/>
          <w:lang w:val="kk-KZ"/>
        </w:rPr>
        <w:t>ің</w:t>
      </w:r>
      <w:r w:rsidRPr="00A01EC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тұрақты</w:t>
      </w:r>
      <w:proofErr w:type="spellEnd"/>
      <w:r w:rsidRPr="00A01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даму</w:t>
      </w:r>
      <w:r w:rsidR="004F5846">
        <w:rPr>
          <w:b/>
          <w:sz w:val="28"/>
          <w:szCs w:val="28"/>
          <w:lang w:val="kk-KZ"/>
        </w:rPr>
        <w:t>ы</w:t>
      </w:r>
      <w:r w:rsidRPr="00A01ECD"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</w:t>
      </w:r>
      <w:r w:rsidRPr="00A01ECD">
        <w:rPr>
          <w:b/>
          <w:sz w:val="28"/>
          <w:szCs w:val="28"/>
          <w:lang w:val="en-US"/>
        </w:rPr>
        <w:t>III</w:t>
      </w:r>
      <w:r w:rsidRPr="00A01ECD">
        <w:rPr>
          <w:b/>
          <w:sz w:val="28"/>
          <w:szCs w:val="28"/>
        </w:rPr>
        <w:t xml:space="preserve"> </w:t>
      </w:r>
      <w:proofErr w:type="spellStart"/>
      <w:r w:rsidRPr="00004262">
        <w:rPr>
          <w:b/>
          <w:sz w:val="28"/>
          <w:szCs w:val="28"/>
        </w:rPr>
        <w:t>Халықаралық</w:t>
      </w:r>
      <w:proofErr w:type="spellEnd"/>
      <w:r w:rsidRPr="00A01ECD">
        <w:rPr>
          <w:b/>
          <w:sz w:val="28"/>
          <w:szCs w:val="28"/>
        </w:rPr>
        <w:t xml:space="preserve"> </w:t>
      </w:r>
      <w:r w:rsidR="003C5EEC">
        <w:rPr>
          <w:b/>
          <w:sz w:val="28"/>
          <w:szCs w:val="28"/>
          <w:lang w:val="kk-KZ"/>
        </w:rPr>
        <w:t>и</w:t>
      </w:r>
      <w:proofErr w:type="spellStart"/>
      <w:r w:rsidRPr="00004262">
        <w:rPr>
          <w:b/>
          <w:sz w:val="28"/>
          <w:szCs w:val="28"/>
        </w:rPr>
        <w:t>нновациялық</w:t>
      </w:r>
      <w:proofErr w:type="spellEnd"/>
      <w:r w:rsidRPr="00A01ECD">
        <w:rPr>
          <w:b/>
          <w:sz w:val="28"/>
          <w:szCs w:val="28"/>
        </w:rPr>
        <w:t xml:space="preserve"> </w:t>
      </w:r>
      <w:r w:rsidR="003C5EEC">
        <w:rPr>
          <w:b/>
          <w:sz w:val="28"/>
          <w:szCs w:val="28"/>
          <w:lang w:val="kk-KZ"/>
        </w:rPr>
        <w:t>ф</w:t>
      </w:r>
      <w:proofErr w:type="spellStart"/>
      <w:r w:rsidRPr="00004262">
        <w:rPr>
          <w:b/>
          <w:sz w:val="28"/>
          <w:szCs w:val="28"/>
        </w:rPr>
        <w:t>орум</w:t>
      </w:r>
      <w:proofErr w:type="spellEnd"/>
      <w:r w:rsidR="003C5EEC">
        <w:rPr>
          <w:b/>
          <w:sz w:val="28"/>
          <w:szCs w:val="28"/>
          <w:lang w:val="kk-KZ"/>
        </w:rPr>
        <w:t>ын</w:t>
      </w:r>
      <w:r w:rsidRPr="00004262">
        <w:rPr>
          <w:b/>
          <w:sz w:val="28"/>
          <w:szCs w:val="28"/>
        </w:rPr>
        <w:t>а</w:t>
      </w:r>
      <w:r w:rsidRPr="00A01ECD">
        <w:rPr>
          <w:b/>
          <w:sz w:val="28"/>
          <w:szCs w:val="28"/>
        </w:rPr>
        <w:t xml:space="preserve"> </w:t>
      </w:r>
      <w:proofErr w:type="spellStart"/>
      <w:r w:rsidRPr="00004262">
        <w:rPr>
          <w:b/>
          <w:sz w:val="28"/>
          <w:szCs w:val="28"/>
        </w:rPr>
        <w:t>қатысу</w:t>
      </w:r>
      <w:proofErr w:type="spellEnd"/>
      <w:r w:rsidR="004F5846">
        <w:rPr>
          <w:b/>
          <w:sz w:val="28"/>
          <w:szCs w:val="28"/>
          <w:lang w:val="kk-KZ"/>
        </w:rPr>
        <w:t xml:space="preserve"> үшін</w:t>
      </w:r>
    </w:p>
    <w:p w:rsidR="00FC47B0" w:rsidRPr="00A01ECD" w:rsidRDefault="00FC47B0" w:rsidP="00FC47B0">
      <w:pPr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4198"/>
      </w:tblGrid>
      <w:tr w:rsidR="00FC47B0" w:rsidRPr="003F0347" w:rsidTr="00094856">
        <w:trPr>
          <w:trHeight w:val="856"/>
        </w:trPr>
        <w:tc>
          <w:tcPr>
            <w:tcW w:w="2754" w:type="pct"/>
          </w:tcPr>
          <w:p w:rsidR="00FC47B0" w:rsidRPr="00004262" w:rsidRDefault="00FC47B0" w:rsidP="0009485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Қатысушының аты-жөні, тегі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004262" w:rsidRDefault="00FC47B0" w:rsidP="0009485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Ел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004262" w:rsidRDefault="00FC47B0" w:rsidP="0009485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004262" w:rsidRDefault="00FC47B0" w:rsidP="0009485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Ұйым атауы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004262" w:rsidRDefault="00FC47B0" w:rsidP="0009485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004262" w:rsidRDefault="00FC47B0" w:rsidP="0009485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Ғылыми дәрежесі, атағы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3F0347" w:rsidRDefault="00FC47B0" w:rsidP="00094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Байланыс</w:t>
            </w:r>
            <w:r w:rsidRPr="003F0347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3F034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kk-KZ"/>
              </w:rPr>
              <w:t>қаланың кодымен</w:t>
            </w:r>
            <w:r w:rsidRPr="003F0347">
              <w:rPr>
                <w:sz w:val="28"/>
                <w:szCs w:val="28"/>
              </w:rPr>
              <w:t>)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3F0347" w:rsidRDefault="00FC47B0" w:rsidP="00094856">
            <w:pPr>
              <w:rPr>
                <w:sz w:val="28"/>
                <w:szCs w:val="28"/>
                <w:lang w:val="en-US"/>
              </w:rPr>
            </w:pPr>
            <w:r w:rsidRPr="003F034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3F0347" w:rsidRDefault="00FC47B0" w:rsidP="0009485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Қатысу турі</w:t>
            </w:r>
            <w:r w:rsidRPr="003F0347">
              <w:rPr>
                <w:sz w:val="28"/>
                <w:szCs w:val="28"/>
              </w:rPr>
              <w:t>:</w:t>
            </w:r>
            <w:r w:rsidRPr="003F0347">
              <w:rPr>
                <w:i/>
                <w:sz w:val="28"/>
                <w:szCs w:val="28"/>
              </w:rPr>
              <w:t xml:space="preserve"> </w:t>
            </w:r>
          </w:p>
          <w:p w:rsidR="00FC47B0" w:rsidRPr="003F0347" w:rsidRDefault="00FC47B0" w:rsidP="00FC47B0">
            <w:pPr>
              <w:numPr>
                <w:ilvl w:val="0"/>
                <w:numId w:val="11"/>
              </w:numPr>
              <w:tabs>
                <w:tab w:val="clear" w:pos="840"/>
                <w:tab w:val="num" w:pos="142"/>
                <w:tab w:val="left" w:pos="360"/>
              </w:tabs>
              <w:spacing w:after="0" w:line="240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>тыңдаушы ретінде қатысу</w:t>
            </w:r>
          </w:p>
          <w:p w:rsidR="00FC47B0" w:rsidRPr="00280FB0" w:rsidRDefault="00FC47B0" w:rsidP="00FC47B0">
            <w:pPr>
              <w:numPr>
                <w:ilvl w:val="0"/>
                <w:numId w:val="11"/>
              </w:numPr>
              <w:tabs>
                <w:tab w:val="clear" w:pos="840"/>
                <w:tab w:val="num" w:pos="142"/>
                <w:tab w:val="left" w:pos="360"/>
              </w:tabs>
              <w:spacing w:after="0" w:line="240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>тыңдаушы ретінде қатысу және мақала жариялау</w:t>
            </w:r>
          </w:p>
          <w:p w:rsidR="00FC47B0" w:rsidRPr="003F0347" w:rsidRDefault="00FC47B0" w:rsidP="00FC47B0">
            <w:pPr>
              <w:numPr>
                <w:ilvl w:val="0"/>
                <w:numId w:val="12"/>
              </w:numPr>
              <w:tabs>
                <w:tab w:val="clear" w:pos="720"/>
                <w:tab w:val="num" w:pos="142"/>
                <w:tab w:val="left" w:pos="360"/>
                <w:tab w:val="left" w:pos="6360"/>
              </w:tabs>
              <w:spacing w:after="0" w:line="240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>тек мақала жариялау</w:t>
            </w:r>
            <w:r w:rsidRPr="003F0347">
              <w:rPr>
                <w:i/>
                <w:sz w:val="28"/>
                <w:szCs w:val="28"/>
              </w:rPr>
              <w:t xml:space="preserve"> </w:t>
            </w:r>
            <w:r w:rsidRPr="003F0347">
              <w:rPr>
                <w:i/>
                <w:sz w:val="28"/>
                <w:szCs w:val="28"/>
              </w:rPr>
              <w:tab/>
            </w:r>
          </w:p>
          <w:p w:rsidR="00FC47B0" w:rsidRPr="002E47E4" w:rsidRDefault="00FC47B0" w:rsidP="00FC47B0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  <w:tab w:val="left" w:pos="360"/>
              </w:tabs>
              <w:spacing w:after="0" w:line="240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ауызша баяндама және мақала жариялау 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  <w:tr w:rsidR="00FC47B0" w:rsidRPr="003F0347" w:rsidTr="00094856">
        <w:tc>
          <w:tcPr>
            <w:tcW w:w="2754" w:type="pct"/>
          </w:tcPr>
          <w:p w:rsidR="00FC47B0" w:rsidRPr="003F0347" w:rsidRDefault="00FC47B0" w:rsidP="00094856">
            <w:pPr>
              <w:rPr>
                <w:sz w:val="28"/>
                <w:szCs w:val="28"/>
              </w:rPr>
            </w:pPr>
            <w:proofErr w:type="spellStart"/>
            <w:r w:rsidRPr="00280FB0">
              <w:rPr>
                <w:sz w:val="28"/>
                <w:szCs w:val="28"/>
              </w:rPr>
              <w:lastRenderedPageBreak/>
              <w:t>Баяндама</w:t>
            </w:r>
            <w:proofErr w:type="spellEnd"/>
            <w:r w:rsidRPr="00280FB0">
              <w:rPr>
                <w:sz w:val="28"/>
                <w:szCs w:val="28"/>
              </w:rPr>
              <w:t>/</w:t>
            </w:r>
            <w:proofErr w:type="spellStart"/>
            <w:r w:rsidRPr="00280FB0">
              <w:rPr>
                <w:sz w:val="28"/>
                <w:szCs w:val="28"/>
              </w:rPr>
              <w:t>мақала</w:t>
            </w:r>
            <w:proofErr w:type="spellEnd"/>
            <w:r w:rsidRPr="00280FB0">
              <w:rPr>
                <w:sz w:val="28"/>
                <w:szCs w:val="28"/>
              </w:rPr>
              <w:t xml:space="preserve"> </w:t>
            </w:r>
            <w:proofErr w:type="spellStart"/>
            <w:r w:rsidRPr="00280FB0">
              <w:rPr>
                <w:sz w:val="28"/>
                <w:szCs w:val="28"/>
              </w:rPr>
              <w:t>атауы</w:t>
            </w:r>
            <w:proofErr w:type="spellEnd"/>
            <w:r w:rsidRPr="00280FB0">
              <w:rPr>
                <w:sz w:val="28"/>
                <w:szCs w:val="28"/>
              </w:rPr>
              <w:t xml:space="preserve"> (</w:t>
            </w:r>
            <w:proofErr w:type="spellStart"/>
            <w:r w:rsidRPr="00280FB0">
              <w:rPr>
                <w:sz w:val="28"/>
                <w:szCs w:val="28"/>
              </w:rPr>
              <w:t>баяндамалар</w:t>
            </w:r>
            <w:proofErr w:type="spellEnd"/>
            <w:r w:rsidRPr="00280FB0">
              <w:rPr>
                <w:sz w:val="28"/>
                <w:szCs w:val="28"/>
              </w:rPr>
              <w:t xml:space="preserve"> / </w:t>
            </w:r>
            <w:proofErr w:type="spellStart"/>
            <w:r w:rsidRPr="00280FB0">
              <w:rPr>
                <w:sz w:val="28"/>
                <w:szCs w:val="28"/>
              </w:rPr>
              <w:t>мақалалар</w:t>
            </w:r>
            <w:proofErr w:type="spellEnd"/>
            <w:r w:rsidRPr="00280FB0">
              <w:rPr>
                <w:sz w:val="28"/>
                <w:szCs w:val="28"/>
              </w:rPr>
              <w:t>)</w:t>
            </w:r>
          </w:p>
        </w:tc>
        <w:tc>
          <w:tcPr>
            <w:tcW w:w="2246" w:type="pct"/>
          </w:tcPr>
          <w:p w:rsidR="00FC47B0" w:rsidRPr="003F0347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</w:tbl>
    <w:p w:rsidR="00FC47B0" w:rsidRDefault="00FC47B0" w:rsidP="00FC47B0"/>
    <w:p w:rsidR="00FC47B0" w:rsidRDefault="00FC47B0" w:rsidP="00FC47B0">
      <w:pPr>
        <w:jc w:val="both"/>
      </w:pPr>
    </w:p>
    <w:p w:rsidR="00FC47B0" w:rsidRPr="008D3C31" w:rsidRDefault="00FC47B0" w:rsidP="00FC47B0">
      <w:pPr>
        <w:jc w:val="both"/>
        <w:rPr>
          <w:b/>
          <w:color w:val="333399"/>
        </w:rPr>
      </w:pPr>
      <w:r w:rsidRPr="00280FB0">
        <w:rPr>
          <w:lang w:val="kk-KZ"/>
        </w:rPr>
        <w:t>Өтінім</w:t>
      </w:r>
      <w:r w:rsidR="004F5846">
        <w:rPr>
          <w:lang w:val="kk-KZ"/>
        </w:rPr>
        <w:t>нің</w:t>
      </w:r>
      <w:r w:rsidRPr="00280FB0">
        <w:rPr>
          <w:lang w:val="kk-KZ"/>
        </w:rPr>
        <w:t xml:space="preserve"> және баяндаманың электрондық нұсқасы </w:t>
      </w:r>
      <w:r w:rsidR="004F5846">
        <w:rPr>
          <w:lang w:val="kk-KZ"/>
        </w:rPr>
        <w:t>Ұйымдастыру комитетінің мекен</w:t>
      </w:r>
      <w:r w:rsidRPr="00280FB0">
        <w:rPr>
          <w:lang w:val="kk-KZ"/>
        </w:rPr>
        <w:t>жайына эле</w:t>
      </w:r>
      <w:r>
        <w:rPr>
          <w:lang w:val="kk-KZ"/>
        </w:rPr>
        <w:t>ктронды пошта арқылы жіберіледі</w:t>
      </w:r>
      <w:r w:rsidRPr="00FE6FFC">
        <w:t xml:space="preserve">: </w:t>
      </w:r>
      <w:proofErr w:type="spellStart"/>
      <w:r>
        <w:rPr>
          <w:b/>
          <w:color w:val="333399"/>
          <w:lang w:val="en-US"/>
        </w:rPr>
        <w:t>digitalkz</w:t>
      </w:r>
      <w:proofErr w:type="spellEnd"/>
      <w:r w:rsidRPr="00C80916">
        <w:rPr>
          <w:b/>
          <w:color w:val="333399"/>
        </w:rPr>
        <w:t>@</w:t>
      </w:r>
      <w:proofErr w:type="spellStart"/>
      <w:r>
        <w:rPr>
          <w:b/>
          <w:color w:val="333399"/>
          <w:lang w:val="en-US"/>
        </w:rPr>
        <w:t>bk</w:t>
      </w:r>
      <w:proofErr w:type="spellEnd"/>
      <w:r w:rsidRPr="00EE73C8">
        <w:rPr>
          <w:b/>
          <w:color w:val="333399"/>
        </w:rPr>
        <w:t>.</w:t>
      </w:r>
      <w:proofErr w:type="spellStart"/>
      <w:r w:rsidRPr="00EE73C8">
        <w:rPr>
          <w:b/>
          <w:color w:val="333399"/>
          <w:lang w:val="en-US"/>
        </w:rPr>
        <w:t>ru</w:t>
      </w:r>
      <w:proofErr w:type="spellEnd"/>
      <w:r>
        <w:rPr>
          <w:b/>
          <w:color w:val="333399"/>
        </w:rPr>
        <w:t>,</w:t>
      </w:r>
      <w:r w:rsidRPr="008D3C31">
        <w:rPr>
          <w:b/>
          <w:color w:val="333399"/>
        </w:rPr>
        <w:t xml:space="preserve"> </w:t>
      </w:r>
    </w:p>
    <w:p w:rsidR="00FC47B0" w:rsidRPr="00FC47B0" w:rsidRDefault="00FC47B0" w:rsidP="00FC47B0">
      <w:pPr>
        <w:rPr>
          <w:lang w:val="en-US"/>
        </w:rPr>
      </w:pPr>
      <w:r>
        <w:rPr>
          <w:lang w:val="kk-KZ"/>
        </w:rPr>
        <w:t>Байланыс тел</w:t>
      </w:r>
      <w:r w:rsidR="004F5846">
        <w:rPr>
          <w:lang w:val="kk-KZ"/>
        </w:rPr>
        <w:t>.</w:t>
      </w:r>
      <w:bookmarkStart w:id="0" w:name="_GoBack"/>
      <w:bookmarkEnd w:id="0"/>
      <w:r w:rsidRPr="00FC47B0">
        <w:rPr>
          <w:lang w:val="en-US"/>
        </w:rPr>
        <w:t xml:space="preserve">: 8-727-257-71-91, </w:t>
      </w:r>
      <w:r>
        <w:rPr>
          <w:lang w:val="kk-KZ"/>
        </w:rPr>
        <w:t xml:space="preserve">ішкі: </w:t>
      </w:r>
      <w:r w:rsidRPr="00FC47B0">
        <w:rPr>
          <w:lang w:val="en-US"/>
        </w:rPr>
        <w:t>71-91,</w:t>
      </w:r>
      <w:r>
        <w:rPr>
          <w:lang w:val="en-US"/>
        </w:rPr>
        <w:t xml:space="preserve"> 73-95</w:t>
      </w:r>
      <w:r w:rsidRPr="00FC47B0">
        <w:rPr>
          <w:lang w:val="en-US"/>
        </w:rPr>
        <w:t xml:space="preserve">.  </w:t>
      </w:r>
    </w:p>
    <w:p w:rsidR="00FC47B0" w:rsidRDefault="00FC47B0">
      <w:pPr>
        <w:rPr>
          <w:b/>
          <w:caps/>
          <w:sz w:val="28"/>
          <w:szCs w:val="28"/>
          <w:lang w:val="en-US"/>
        </w:rPr>
      </w:pPr>
    </w:p>
    <w:p w:rsidR="004D4DC3" w:rsidRPr="00B93A64" w:rsidRDefault="004D4DC3"/>
    <w:sectPr w:rsidR="004D4DC3" w:rsidRPr="00B9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096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B6A60"/>
    <w:multiLevelType w:val="hybridMultilevel"/>
    <w:tmpl w:val="AF4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5BE6"/>
    <w:multiLevelType w:val="hybridMultilevel"/>
    <w:tmpl w:val="B80C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202"/>
    <w:multiLevelType w:val="hybridMultilevel"/>
    <w:tmpl w:val="4BBC01F6"/>
    <w:lvl w:ilvl="0" w:tplc="7276869E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02420A4"/>
    <w:multiLevelType w:val="multilevel"/>
    <w:tmpl w:val="CF9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E694F"/>
    <w:multiLevelType w:val="hybridMultilevel"/>
    <w:tmpl w:val="8F88E71A"/>
    <w:lvl w:ilvl="0" w:tplc="06647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614C8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1227A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A1CDD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8219C"/>
    <w:multiLevelType w:val="multilevel"/>
    <w:tmpl w:val="3FA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E6505"/>
    <w:multiLevelType w:val="hybridMultilevel"/>
    <w:tmpl w:val="F0548398"/>
    <w:lvl w:ilvl="0" w:tplc="1896A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B3F27"/>
    <w:multiLevelType w:val="hybridMultilevel"/>
    <w:tmpl w:val="28E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E0199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5"/>
    <w:rsid w:val="00000C06"/>
    <w:rsid w:val="000066C3"/>
    <w:rsid w:val="00052ABE"/>
    <w:rsid w:val="000674DB"/>
    <w:rsid w:val="00075352"/>
    <w:rsid w:val="000B7474"/>
    <w:rsid w:val="000E480B"/>
    <w:rsid w:val="00100375"/>
    <w:rsid w:val="00103ECD"/>
    <w:rsid w:val="00117EE2"/>
    <w:rsid w:val="001E1C45"/>
    <w:rsid w:val="0020428E"/>
    <w:rsid w:val="00241AF2"/>
    <w:rsid w:val="002B3273"/>
    <w:rsid w:val="00302591"/>
    <w:rsid w:val="0039160E"/>
    <w:rsid w:val="003C1ACC"/>
    <w:rsid w:val="003C5EEC"/>
    <w:rsid w:val="003F0170"/>
    <w:rsid w:val="003F7FD5"/>
    <w:rsid w:val="004344AD"/>
    <w:rsid w:val="00470B05"/>
    <w:rsid w:val="004D4DC3"/>
    <w:rsid w:val="004E34F2"/>
    <w:rsid w:val="004F5846"/>
    <w:rsid w:val="005133FD"/>
    <w:rsid w:val="005141C1"/>
    <w:rsid w:val="005453B1"/>
    <w:rsid w:val="00570BB7"/>
    <w:rsid w:val="00591AED"/>
    <w:rsid w:val="005A1F19"/>
    <w:rsid w:val="0063374A"/>
    <w:rsid w:val="00637E84"/>
    <w:rsid w:val="006B7CDA"/>
    <w:rsid w:val="006D59BC"/>
    <w:rsid w:val="00704494"/>
    <w:rsid w:val="0073182A"/>
    <w:rsid w:val="00754A2A"/>
    <w:rsid w:val="00761197"/>
    <w:rsid w:val="0077455E"/>
    <w:rsid w:val="00774E7C"/>
    <w:rsid w:val="007A485C"/>
    <w:rsid w:val="007B4AC7"/>
    <w:rsid w:val="007E7F40"/>
    <w:rsid w:val="007F7553"/>
    <w:rsid w:val="00842DC9"/>
    <w:rsid w:val="0086499F"/>
    <w:rsid w:val="00886FD8"/>
    <w:rsid w:val="008D425F"/>
    <w:rsid w:val="008F6045"/>
    <w:rsid w:val="009D1D6C"/>
    <w:rsid w:val="009D5391"/>
    <w:rsid w:val="00A12954"/>
    <w:rsid w:val="00A13CE0"/>
    <w:rsid w:val="00A32697"/>
    <w:rsid w:val="00B2022B"/>
    <w:rsid w:val="00B93A64"/>
    <w:rsid w:val="00BF6628"/>
    <w:rsid w:val="00C271A5"/>
    <w:rsid w:val="00D02480"/>
    <w:rsid w:val="00D15B5E"/>
    <w:rsid w:val="00D2596B"/>
    <w:rsid w:val="00D27E8D"/>
    <w:rsid w:val="00D759AE"/>
    <w:rsid w:val="00DA0267"/>
    <w:rsid w:val="00E44279"/>
    <w:rsid w:val="00E442ED"/>
    <w:rsid w:val="00E62B5C"/>
    <w:rsid w:val="00EA21BA"/>
    <w:rsid w:val="00F7062F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781B-47D6-4D1D-A3BB-A4DF879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74A"/>
    <w:rPr>
      <w:b/>
      <w:bCs/>
    </w:rPr>
  </w:style>
  <w:style w:type="character" w:styleId="a5">
    <w:name w:val="Hyperlink"/>
    <w:basedOn w:val="a0"/>
    <w:unhideWhenUsed/>
    <w:rsid w:val="0063374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0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470B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812">
          <w:marLeft w:val="0"/>
          <w:marRight w:val="0"/>
          <w:marTop w:val="0"/>
          <w:marBottom w:val="0"/>
          <w:divBdr>
            <w:top w:val="single" w:sz="6" w:space="29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831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63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67296056">
          <w:marLeft w:val="0"/>
          <w:marRight w:val="0"/>
          <w:marTop w:val="0"/>
          <w:marBottom w:val="0"/>
          <w:divBdr>
            <w:top w:val="single" w:sz="6" w:space="29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48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729">
                  <w:marLeft w:val="0"/>
                  <w:marRight w:val="0"/>
                  <w:marTop w:val="0"/>
                  <w:marBottom w:val="0"/>
                  <w:divBdr>
                    <w:top w:val="single" w:sz="48" w:space="31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482A-F416-499A-BE95-D3EF34AB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Aiman Suleimenova</cp:lastModifiedBy>
  <cp:revision>14</cp:revision>
  <cp:lastPrinted>2017-10-12T08:41:00Z</cp:lastPrinted>
  <dcterms:created xsi:type="dcterms:W3CDTF">2019-01-16T09:27:00Z</dcterms:created>
  <dcterms:modified xsi:type="dcterms:W3CDTF">2019-01-17T03:53:00Z</dcterms:modified>
</cp:coreProperties>
</file>